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FB" w:rsidRPr="00C92976" w:rsidRDefault="000214FB">
      <w:pPr>
        <w:rPr>
          <w:b/>
          <w:u w:val="single"/>
        </w:rPr>
      </w:pPr>
      <w:r w:rsidRPr="00C92976">
        <w:rPr>
          <w:b/>
          <w:u w:val="single"/>
        </w:rPr>
        <w:t>PROGETTO ‘ECOLAB’.  FORMAZIONE PRATICA</w:t>
      </w:r>
      <w:r w:rsidR="00B335EF" w:rsidRPr="00C92976">
        <w:rPr>
          <w:b/>
          <w:u w:val="single"/>
        </w:rPr>
        <w:t xml:space="preserve"> ‘ON WORK’</w:t>
      </w:r>
      <w:r w:rsidRPr="00C92976">
        <w:rPr>
          <w:b/>
          <w:u w:val="single"/>
        </w:rPr>
        <w:t xml:space="preserve"> IN MEDICINA DI EMERGENZA E URGENZA </w:t>
      </w:r>
    </w:p>
    <w:p w:rsidR="00992992" w:rsidRDefault="000214FB" w:rsidP="00BB6B9E">
      <w:pPr>
        <w:jc w:val="both"/>
      </w:pPr>
      <w:r w:rsidRPr="00C92976">
        <w:rPr>
          <w:b/>
          <w:u w:val="single"/>
        </w:rPr>
        <w:t>Razionale:</w:t>
      </w:r>
      <w:r w:rsidRPr="00BB6B9E">
        <w:t xml:space="preserve"> la formazione in ecografia in tutti i </w:t>
      </w:r>
      <w:r w:rsidR="00BB6B9E" w:rsidRPr="00BB6B9E">
        <w:t xml:space="preserve">suoi </w:t>
      </w:r>
      <w:r w:rsidRPr="00BB6B9E">
        <w:t>settori di applicazione, c</w:t>
      </w:r>
      <w:r w:rsidR="00B335EF" w:rsidRPr="00BB6B9E">
        <w:t>ompreso quello specifico del pro</w:t>
      </w:r>
      <w:r w:rsidRPr="00BB6B9E">
        <w:t xml:space="preserve">getto presentato, è finalizzata all’acquisizione di competenze (‘sapere, saper fare, sapere essere’) </w:t>
      </w:r>
      <w:r w:rsidR="00FE5131">
        <w:t>che non può prescindere da un’adeguata fase di pratica ecografica</w:t>
      </w:r>
      <w:r w:rsidR="00AF0944" w:rsidRPr="00BB6B9E">
        <w:t xml:space="preserve">. </w:t>
      </w:r>
      <w:r w:rsidR="00D471F1">
        <w:t xml:space="preserve">L’offerta formativa in ecografia in urgenza è oggi molto ampia, ma prevalentemente di tipo teorico, mentre difettano i centri sufficientemente dotati di casistica che riescano a fornire una offerta formativa  </w:t>
      </w:r>
      <w:r w:rsidR="00AF0944" w:rsidRPr="00BB6B9E">
        <w:t>‘professionalizzate’</w:t>
      </w:r>
      <w:r w:rsidR="00D471F1">
        <w:t xml:space="preserve">. </w:t>
      </w:r>
      <w:r w:rsidR="00992992">
        <w:t xml:space="preserve">Il nostro ospedale possiede le caratteristiche che lo rendono adeguato ai criteri delle principali società scientifiche del settore a  costituire un centro di formazione. </w:t>
      </w:r>
    </w:p>
    <w:p w:rsidR="00AF0944" w:rsidRPr="00D471F1" w:rsidRDefault="00992992" w:rsidP="00BB6B9E">
      <w:pPr>
        <w:jc w:val="both"/>
        <w:rPr>
          <w:rFonts w:cs="Arial"/>
          <w:color w:val="3F3F3F"/>
          <w:spacing w:val="8"/>
        </w:rPr>
      </w:pPr>
      <w:r>
        <w:t>Per rispondere  a una crescete richiesta formativa</w:t>
      </w:r>
      <w:r w:rsidR="008C5C82">
        <w:t xml:space="preserve"> proveniente sia dall’interno che dall’esterno dell’ospedale</w:t>
      </w:r>
      <w:r>
        <w:t>,  abbiamo progettato un percorso formativo ‘on work’, la cui caratteristica è l’affiancamento del discente a un tutor nel suo lavoro quotidiano. Tale percorso</w:t>
      </w:r>
      <w:r w:rsidR="008C5C82">
        <w:t xml:space="preserve"> </w:t>
      </w:r>
      <w:r>
        <w:t>si pone come</w:t>
      </w:r>
      <w:r w:rsidR="00D471F1">
        <w:t xml:space="preserve"> ‘professionalizzante’ </w:t>
      </w:r>
      <w:r>
        <w:t xml:space="preserve">sia nei metodi che negli scopi, avendo l’obiettivo </w:t>
      </w:r>
      <w:r>
        <w:rPr>
          <w:rFonts w:cs="Arial"/>
          <w:color w:val="3F3F3F"/>
          <w:spacing w:val="8"/>
        </w:rPr>
        <w:t>di</w:t>
      </w:r>
      <w:r w:rsidR="00D471F1">
        <w:rPr>
          <w:rFonts w:cs="Arial"/>
          <w:color w:val="3F3F3F"/>
          <w:spacing w:val="8"/>
        </w:rPr>
        <w:t xml:space="preserve"> qualifica</w:t>
      </w:r>
      <w:r>
        <w:rPr>
          <w:rFonts w:cs="Arial"/>
          <w:color w:val="3F3F3F"/>
          <w:spacing w:val="8"/>
        </w:rPr>
        <w:t>re i partecipanti come competenti in ecografia d’urgenza.</w:t>
      </w:r>
    </w:p>
    <w:p w:rsidR="000214FB" w:rsidRDefault="00BB6B9E" w:rsidP="00AF0944">
      <w:pPr>
        <w:jc w:val="both"/>
      </w:pPr>
      <w:r w:rsidRPr="00C92976">
        <w:rPr>
          <w:b/>
          <w:u w:val="single"/>
        </w:rPr>
        <w:t>Requisiti</w:t>
      </w:r>
      <w:r w:rsidR="000214FB">
        <w:rPr>
          <w:u w:val="single"/>
        </w:rPr>
        <w:t>:</w:t>
      </w:r>
      <w:r w:rsidR="000214FB" w:rsidRPr="00BB6B9E">
        <w:t xml:space="preserve"> </w:t>
      </w:r>
      <w:r>
        <w:t>Laurea</w:t>
      </w:r>
      <w:r w:rsidR="00AF0944">
        <w:t xml:space="preserve"> </w:t>
      </w:r>
      <w:r>
        <w:t>in medicina e chirurgia (per le specializzazioni accreditate vedi scheda di progettazione), in possesso di attestazione di formazione teorica di I livello (o livello ‘base’).</w:t>
      </w:r>
    </w:p>
    <w:p w:rsidR="00FF2E01" w:rsidRDefault="00BB6B9E" w:rsidP="00AF0944">
      <w:pPr>
        <w:jc w:val="both"/>
      </w:pPr>
      <w:r w:rsidRPr="00C92976">
        <w:rPr>
          <w:b/>
          <w:u w:val="single"/>
        </w:rPr>
        <w:t>Training</w:t>
      </w:r>
      <w:r w:rsidRPr="00C92976">
        <w:rPr>
          <w:b/>
        </w:rPr>
        <w:t>:</w:t>
      </w:r>
      <w:r>
        <w:t xml:space="preserve"> Durata e modalità del training sono coerenti con le indicazioni delle principali società scientifiche implicate nella Ecografia in Medicina di Emergenza e Urgenza (SIUMB/SIMEU)</w:t>
      </w:r>
      <w:r w:rsidR="00FE5131">
        <w:t>. Il training consta di 100 ore annue di formazione sul campo in affiancamento a</w:t>
      </w:r>
      <w:r w:rsidR="00FF2E01">
        <w:t>i</w:t>
      </w:r>
      <w:r w:rsidR="00FE5131">
        <w:t xml:space="preserve"> tutor della scuola di ecografia dell’ Ospedale Maggiore</w:t>
      </w:r>
      <w:r w:rsidR="00FF2E01">
        <w:t xml:space="preserve"> e si svolge in sedute dedicate (‘Ecolab’) e affiancamenti durante l’attività quotidiana in Pronto Soccorso e Medicina d’Urgenza</w:t>
      </w:r>
      <w:r w:rsidR="00FE5131">
        <w:t>. Il rapporto tutor/discente</w:t>
      </w:r>
      <w:r w:rsidR="00FF2E01">
        <w:t xml:space="preserve"> e tutor/ecografo è 1:3  nelle attività di ‘laboratorio’ è 1:1 negli affiancamenti.</w:t>
      </w:r>
    </w:p>
    <w:p w:rsidR="005A15B7" w:rsidRDefault="005A15B7" w:rsidP="00AF0944">
      <w:pPr>
        <w:jc w:val="both"/>
      </w:pPr>
      <w:r w:rsidRPr="00C92976">
        <w:rPr>
          <w:b/>
          <w:u w:val="single"/>
        </w:rPr>
        <w:t>Organizzazione della formazione</w:t>
      </w:r>
      <w:r w:rsidRPr="00C92976">
        <w:rPr>
          <w:b/>
        </w:rPr>
        <w:t xml:space="preserve">: </w:t>
      </w:r>
      <w:r>
        <w:t xml:space="preserve">‘on work, articolata in sedute dedicate (88 ‘ecolab’ per un totale di 336 ore) e affiancamenti ai tutor (164 ore). </w:t>
      </w:r>
    </w:p>
    <w:p w:rsidR="009076D1" w:rsidRDefault="009076D1" w:rsidP="00AF0944">
      <w:pPr>
        <w:jc w:val="both"/>
      </w:pPr>
      <w:r w:rsidRPr="00C92976">
        <w:rPr>
          <w:b/>
          <w:u w:val="single"/>
        </w:rPr>
        <w:t>N° discenti ammessi</w:t>
      </w:r>
      <w:r w:rsidRPr="00C92976">
        <w:rPr>
          <w:b/>
        </w:rPr>
        <w:t xml:space="preserve">: </w:t>
      </w:r>
      <w:r w:rsidR="005A15B7">
        <w:t>10</w:t>
      </w:r>
      <w:r>
        <w:t xml:space="preserve"> all’</w:t>
      </w:r>
      <w:r w:rsidR="005A15B7">
        <w:t>anno</w:t>
      </w:r>
      <w:r w:rsidR="008C5C82">
        <w:t xml:space="preserve">, </w:t>
      </w:r>
      <w:r w:rsidR="005A15B7">
        <w:t xml:space="preserve">interni e esterni  </w:t>
      </w:r>
      <w:r w:rsidR="008C5C82">
        <w:t>(interni 30%)</w:t>
      </w:r>
      <w:r w:rsidR="005A15B7">
        <w:t xml:space="preserve">, con possibilità di overbooking </w:t>
      </w:r>
      <w:r w:rsidR="008C5C82">
        <w:t>e interscabi tra le quote.</w:t>
      </w:r>
    </w:p>
    <w:p w:rsidR="00992992" w:rsidRDefault="00992992" w:rsidP="00AF0944">
      <w:pPr>
        <w:jc w:val="both"/>
      </w:pPr>
      <w:r w:rsidRPr="00C92976">
        <w:rPr>
          <w:b/>
          <w:u w:val="single"/>
        </w:rPr>
        <w:t>Direttore del Corso e referente scientifico</w:t>
      </w:r>
      <w:r w:rsidRPr="00C92976">
        <w:rPr>
          <w:b/>
        </w:rPr>
        <w:t xml:space="preserve">: </w:t>
      </w:r>
      <w:r>
        <w:t>dr. Soccorsa Sofia</w:t>
      </w:r>
      <w:r w:rsidR="005A15B7">
        <w:t>.  Funzioni: organizzazione degli Ecolab, coordinamento dei tutor, supervisione del materiale didattico, attribuzione dei tutor ai discenti (insieme ai tutor), valutazione delle domande di iscrizione insieme alla segreteria organizzativa</w:t>
      </w:r>
      <w:r w:rsidR="00A1505E">
        <w:t>, valutazione dei pretest</w:t>
      </w:r>
      <w:r w:rsidR="008C5C82">
        <w:t xml:space="preserve">, </w:t>
      </w:r>
      <w:r w:rsidR="00A1505E">
        <w:t xml:space="preserve">coordinamento dei test finali. </w:t>
      </w:r>
    </w:p>
    <w:p w:rsidR="009076D1" w:rsidRPr="006F66C2" w:rsidRDefault="005A15B7" w:rsidP="009076D1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cs="Calibri"/>
          <w:b/>
          <w:color w:val="993366"/>
        </w:rPr>
      </w:pPr>
      <w:r w:rsidRPr="00C92976">
        <w:rPr>
          <w:b/>
          <w:u w:val="single"/>
        </w:rPr>
        <w:t>Docenti e tutor</w:t>
      </w:r>
      <w:r w:rsidRPr="00C92976">
        <w:rPr>
          <w:b/>
        </w:rPr>
        <w:t xml:space="preserve">: </w:t>
      </w:r>
      <w:r w:rsidR="009076D1">
        <w:t xml:space="preserve"> </w:t>
      </w:r>
      <w:r w:rsidR="009076D1">
        <w:rPr>
          <w:rFonts w:cs="Calibri"/>
          <w:b/>
        </w:rPr>
        <w:t>Dr. Sofia Soccorsa, Dr. Scialpi Cecilia, Dr. Cecilioni Laura, Dr. Ramilli Stefano, Dr. Cristina Orlandini.</w:t>
      </w:r>
    </w:p>
    <w:p w:rsidR="00DF2DE9" w:rsidRPr="00A1505E" w:rsidRDefault="00DF2DE9" w:rsidP="009076D1">
      <w:pPr>
        <w:spacing w:after="0" w:line="240" w:lineRule="auto"/>
        <w:jc w:val="both"/>
        <w:rPr>
          <w:i/>
        </w:rPr>
      </w:pPr>
      <w:r w:rsidRPr="00C92976">
        <w:rPr>
          <w:b/>
          <w:u w:val="single"/>
        </w:rPr>
        <w:t xml:space="preserve">Segreteria </w:t>
      </w:r>
      <w:r w:rsidR="00992992" w:rsidRPr="00C92976">
        <w:rPr>
          <w:b/>
          <w:u w:val="single"/>
        </w:rPr>
        <w:t>organizzativa</w:t>
      </w:r>
      <w:r w:rsidR="009076D1" w:rsidRPr="00C92976">
        <w:rPr>
          <w:b/>
        </w:rPr>
        <w:t>:</w:t>
      </w:r>
      <w:r w:rsidR="009076D1">
        <w:t xml:space="preserve">  Sig.ra Stefania Bonvicini </w:t>
      </w:r>
      <w:r>
        <w:t>(</w:t>
      </w:r>
      <w:hyperlink r:id="rId7" w:history="1">
        <w:r w:rsidRPr="006B1706">
          <w:rPr>
            <w:rStyle w:val="Collegamentoipertestuale"/>
          </w:rPr>
          <w:t>s.bonvicini@118er.it</w:t>
        </w:r>
      </w:hyperlink>
      <w:r w:rsidR="009076D1">
        <w:t xml:space="preserve">),  Sig.ra Elisa Allegri </w:t>
      </w:r>
      <w:r w:rsidR="00992992">
        <w:t>(</w:t>
      </w:r>
      <w:hyperlink r:id="rId8" w:history="1">
        <w:r w:rsidR="009076D1" w:rsidRPr="006B1706">
          <w:rPr>
            <w:rStyle w:val="Collegamentoipertestuale"/>
          </w:rPr>
          <w:t>elisa.allegri@ausl.bo.it</w:t>
        </w:r>
      </w:hyperlink>
      <w:r w:rsidR="009076D1">
        <w:t xml:space="preserve">). </w:t>
      </w:r>
      <w:r>
        <w:t xml:space="preserve"> La segreteria </w:t>
      </w:r>
      <w:r w:rsidR="009076D1">
        <w:t>organizzativa</w:t>
      </w:r>
      <w:r>
        <w:t xml:space="preserve"> gestisce le domande di iscrizione e le liste di attesa (quest</w:t>
      </w:r>
      <w:r w:rsidR="008C5C82">
        <w:t xml:space="preserve">’ </w:t>
      </w:r>
      <w:r>
        <w:t>ultimo punto insieme al referente scientifico), registra l’avvenuto pagamento delle quote di iscrizione, si occupa  degli as</w:t>
      </w:r>
      <w:r w:rsidR="009076D1">
        <w:t>petti fiscali delle iscrizioni, emette le lettere di incarico (figura responsabile ancora da inde</w:t>
      </w:r>
      <w:r w:rsidR="005A15B7">
        <w:t>n</w:t>
      </w:r>
      <w:r w:rsidR="009076D1">
        <w:t>tificare),</w:t>
      </w:r>
      <w:r w:rsidR="005A15B7">
        <w:t xml:space="preserve"> distribuisce i pretest e il materiale didattico ai discenti e recepisce i pretest in ritorno (questi verranno valutati dal ref</w:t>
      </w:r>
      <w:r w:rsidR="00A1505E">
        <w:t>.</w:t>
      </w:r>
      <w:r w:rsidR="005A15B7">
        <w:t xml:space="preserve"> scientifico)</w:t>
      </w:r>
      <w:r w:rsidR="00A1505E">
        <w:t>, recepisce i calendari mensili dell’attività formativa e compone le aule insie</w:t>
      </w:r>
      <w:r w:rsidR="008C5C82">
        <w:t>me con il referente scientifico</w:t>
      </w:r>
      <w:r w:rsidR="00A1505E">
        <w:t xml:space="preserve">. </w:t>
      </w:r>
      <w:r w:rsidR="00A1505E" w:rsidRPr="00A1505E">
        <w:rPr>
          <w:i/>
        </w:rPr>
        <w:t>Alcune di queste attivit</w:t>
      </w:r>
      <w:r w:rsidR="008C5C82">
        <w:rPr>
          <w:i/>
        </w:rPr>
        <w:t xml:space="preserve">à potrebbero essere vicariate dl </w:t>
      </w:r>
      <w:r w:rsidR="00A1505E" w:rsidRPr="00A1505E">
        <w:rPr>
          <w:i/>
        </w:rPr>
        <w:t xml:space="preserve"> sito </w:t>
      </w:r>
      <w:r w:rsidR="008C5C82">
        <w:rPr>
          <w:i/>
        </w:rPr>
        <w:t>GECAV</w:t>
      </w:r>
      <w:r w:rsidR="00A1505E" w:rsidRPr="00A1505E">
        <w:rPr>
          <w:i/>
        </w:rPr>
        <w:t xml:space="preserve">appena allestito completamente </w:t>
      </w:r>
    </w:p>
    <w:p w:rsidR="009076D1" w:rsidRPr="00DF2DE9" w:rsidRDefault="009076D1" w:rsidP="009076D1">
      <w:pPr>
        <w:spacing w:after="0" w:line="240" w:lineRule="auto"/>
      </w:pPr>
    </w:p>
    <w:p w:rsidR="00DF2DE9" w:rsidRPr="00DF2DE9" w:rsidRDefault="00DF2DE9">
      <w:pP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</w:pPr>
      <w:bookmarkStart w:id="0" w:name="_GoBack"/>
      <w:r w:rsidRPr="00C92976">
        <w:rPr>
          <w:b/>
          <w:u w:val="single"/>
        </w:rPr>
        <w:t>Pubblicizzazione del Training:</w:t>
      </w:r>
      <w:bookmarkEnd w:id="0"/>
      <w:r>
        <w:rPr>
          <w:u w:val="single"/>
        </w:rPr>
        <w:t xml:space="preserve"> </w:t>
      </w:r>
      <w:r w:rsidRPr="00DF2DE9">
        <w:t xml:space="preserve">1. </w:t>
      </w:r>
      <w:hyperlink r:id="rId9" w:history="1">
        <w:r w:rsidRPr="006B1706">
          <w:rPr>
            <w:rStyle w:val="Collegamentoipertestuale"/>
          </w:rPr>
          <w:t>www.ecografiaurgenza.it</w:t>
        </w:r>
      </w:hyperlink>
      <w:r>
        <w:t xml:space="preserve">;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www.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118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er.it/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gecav</w:t>
      </w:r>
    </w:p>
    <w:p w:rsidR="00A1505E" w:rsidRDefault="00A1505E">
      <w:pPr>
        <w:rPr>
          <w:u w:val="single"/>
        </w:rPr>
      </w:pPr>
    </w:p>
    <w:p w:rsidR="00FE5131" w:rsidRPr="00FE5131" w:rsidRDefault="00FE5131">
      <w:pPr>
        <w:rPr>
          <w:u w:val="single"/>
        </w:rPr>
      </w:pPr>
      <w:r w:rsidRPr="00FE5131">
        <w:rPr>
          <w:u w:val="single"/>
        </w:rPr>
        <w:t>PARTE ECONOMICA</w:t>
      </w:r>
    </w:p>
    <w:p w:rsidR="00FE5131" w:rsidRDefault="00DF2DE9" w:rsidP="005A15B7">
      <w:pPr>
        <w:jc w:val="both"/>
      </w:pPr>
      <w:r>
        <w:t>La q</w:t>
      </w:r>
      <w:r w:rsidR="009076D1">
        <w:t>uota di iscrizione è 500 euro +IVA (se dovuta)</w:t>
      </w:r>
      <w:r>
        <w:t xml:space="preserve"> e deve essere versata</w:t>
      </w:r>
      <w:r w:rsidR="00FF2E01">
        <w:t xml:space="preserve"> dal discente</w:t>
      </w:r>
      <w:r>
        <w:t xml:space="preserve"> </w:t>
      </w:r>
      <w:r w:rsidR="005A15B7">
        <w:t xml:space="preserve">esterno </w:t>
      </w:r>
      <w:r>
        <w:t>dopo accettazione della domanda , unitamente alla compilazione della relativa sc</w:t>
      </w:r>
      <w:r w:rsidR="00FF2E01">
        <w:t>h</w:t>
      </w:r>
      <w:r>
        <w:t xml:space="preserve">eda. La quota dovrà essere versata in unica soluzione </w:t>
      </w:r>
      <w:r w:rsidR="00FF2E01">
        <w:t>sul</w:t>
      </w:r>
      <w:r>
        <w:t xml:space="preserve"> </w:t>
      </w:r>
      <w:r w:rsidRPr="00FF2E01">
        <w:rPr>
          <w:highlight w:val="yellow"/>
        </w:rPr>
        <w:t xml:space="preserve">fondo le cui coordinate bancarie sono indicate nella </w:t>
      </w:r>
      <w:r w:rsidR="00FF2E01" w:rsidRPr="00FF2E01">
        <w:rPr>
          <w:highlight w:val="yellow"/>
        </w:rPr>
        <w:t>scheda stessa</w:t>
      </w:r>
      <w:r w:rsidR="00FF2E01">
        <w:t xml:space="preserve">. </w:t>
      </w:r>
      <w:r w:rsidR="008C5C82">
        <w:t>La partecipazione dei discenti interni è gratuita.</w:t>
      </w:r>
    </w:p>
    <w:p w:rsidR="009076D1" w:rsidRDefault="009076D1" w:rsidP="005A15B7">
      <w:pPr>
        <w:jc w:val="both"/>
      </w:pPr>
      <w:r>
        <w:t xml:space="preserve">La spesa prevista è di 5000 euro annui, di cui 250 per spese di segreteria e 4750 per retribuzione dei docenti. </w:t>
      </w:r>
    </w:p>
    <w:p w:rsidR="00271F45" w:rsidRPr="00933AB8" w:rsidRDefault="00A953D2">
      <w:r>
        <w:t xml:space="preserve">ASSICURAZIONI:  Per le attività di formazione e pratica tutorata formalmente riconosciute, l’AUSL copre gli eventuali danni ai pazienti e ai discenti qualora il danno si sia verificato nonostante il rispetto delle norme  di protezione definite dall’azienda per i dipendenti. </w:t>
      </w:r>
      <w:r w:rsidR="008C5C82">
        <w:t xml:space="preserve">Non sono coperti danni che si creino in modo fortuito  o in deroga alle norme suddette. Verso questo tipo di danni, il discente può – a sua discrezione e a suo carico – stipulare un’assicurazione personale laddove quella eventualmente già in essere non copra incidenti durante attività formativa. </w:t>
      </w:r>
    </w:p>
    <w:tbl>
      <w:tblPr>
        <w:tblW w:w="65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850"/>
        <w:gridCol w:w="960"/>
        <w:gridCol w:w="960"/>
        <w:gridCol w:w="960"/>
        <w:gridCol w:w="948"/>
      </w:tblGrid>
      <w:tr w:rsidR="00A1505E" w:rsidRPr="00E97A7F" w:rsidTr="00A1505E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Ecolab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Costo/h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A7F">
              <w:rPr>
                <w:rFonts w:ascii="Calibri" w:eastAsia="Times New Roman" w:hAnsi="Calibri" w:cs="Times New Roman"/>
                <w:color w:val="000000"/>
              </w:rPr>
              <w:t>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8C5C82" w:rsidP="00E97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Hr/</w:t>
            </w:r>
            <w:r w:rsidR="00A1505E" w:rsidRPr="00E97A7F">
              <w:rPr>
                <w:rFonts w:ascii="Calibri" w:eastAsia="Times New Roman" w:hAnsi="Calibri" w:cs="Times New Roman"/>
                <w:color w:val="000000"/>
              </w:rPr>
              <w:t xml:space="preserve">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C92976" w:rsidP="00E97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267970</wp:posOffset>
                      </wp:positionV>
                      <wp:extent cx="454025" cy="488315"/>
                      <wp:effectExtent l="5080" t="5080" r="7620" b="11430"/>
                      <wp:wrapNone/>
                      <wp:docPr id="1" name="Arc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4025" cy="488315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43195 w 43200"/>
                                  <a:gd name="T1" fmla="*/ 22054 h 43200"/>
                                  <a:gd name="T2" fmla="*/ 43200 w 43200"/>
                                  <a:gd name="T3" fmla="*/ 21600 h 43200"/>
                                  <a:gd name="T4" fmla="*/ 21600 w 432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200" fill="none" extrusionOk="0">
                                    <a:moveTo>
                                      <a:pt x="43195" y="22054"/>
                                    </a:moveTo>
                                    <a:cubicBezTo>
                                      <a:pt x="42948" y="33803"/>
                                      <a:pt x="33352" y="43199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-1"/>
                                      <a:pt x="43199" y="9670"/>
                                      <a:pt x="43200" y="21599"/>
                                    </a:cubicBezTo>
                                  </a:path>
                                  <a:path w="43200" h="43200" stroke="0" extrusionOk="0">
                                    <a:moveTo>
                                      <a:pt x="43195" y="22054"/>
                                    </a:moveTo>
                                    <a:cubicBezTo>
                                      <a:pt x="42948" y="33803"/>
                                      <a:pt x="33352" y="43199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-1"/>
                                      <a:pt x="43199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>
                                  <a:alpha val="9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7" o:spid="_x0000_s1026" style="position:absolute;margin-left:15.55pt;margin-top:21.1pt;width:35.75pt;height:38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Y4mgMAANYKAAAOAAAAZHJzL2Uyb0RvYy54bWzsVtlu2zoQfS/QfyD02ItEspYkNuIU3dJb&#10;oBvQ9ANoirKESKIuSVtOv/4eDmV5adIGRZ+KJoDMZXhmzsxwOJfPN03N1lKbSrXzYHIaBUy2QuVV&#10;u5wHX2+uTy4CZixvc16rVs6DO2mC51dPn1z23UzGqlR1LjUDSGtmfTcPSmu7WRgaUcqGm1PVyRab&#10;hdINt5jqZZhr3gO9qcM4is7CXum800pIY7D62m8GV4RfFFLYT0VhpGX1PIBtlr6avgv3Da8u+Wyp&#10;eVdWYjCD/4IVDa9aKB2hXnPL2UpX30E1ldDKqMKeCtWEqigqIYkD2EyiIzZfSt5J4gLnmG50k/l9&#10;sOLj+rNmVY7YBazlDUL0Qgt27hzTd2aG/S/dZ+2ome69ErcGG+HBjpsYyLBF/0HlAOArq8gZm0I3&#10;rKir7l8H7zBAmG3I+3ej9+XGMoHFNEujOAuYwFZ6cZFMMmdEyGcOxh0WK2PfSkVjvn5vrA9ejhG5&#10;Ph8IvEWgi6ZGHP85YfHkLIoY/odQj0Lg+3Oh+BFCN6O6ZyFLk8k0Yz1+kZ1HKm9GlRCM4yhLWXm/&#10;4KiWEIH0EGKytc8hEtMHENPvBB+wEQHwbrkPEcFYbt3Ny20ExKYdQoAR4+7mRxTtThkXbecgxBT0&#10;fTwhReG8XxjcnXDyKGHQcsLbTCFkGLmzSKMCHN99HTDc/YWPTsetI+IMckPWI/kodqwcR0VVo3y0&#10;KGCobhurV67afbrd0mzUWt4oQrCOL+UAGUZBHojspMRqUYmX8tvBmXiaolSCTJJcREQeBhFckiSZ&#10;d4oDng5m0xaFnE6N+ebYH+Afzjzk9Ozcx2Q8tlXml53GA0V+2asbgvhTJf4MqaKLeqR6uB1+dUeE&#10;lh9FwhvpXHZCmbWl4L3k1o91D4HFTjzJvCePNGHqsuCH2WCsVrcoc+D3Nxn+5GTgs7rdv6O7JN2/&#10;CFsZUSsjvTt8Cg25RMWF0mz3ehlVV/k1qopLNKOXi1e1ZmuOInONPzwcbp3XXcn96jTyjwlgBml6&#10;GA9g6tbVrmmGJ5RQH1QBrD24fTGtVm1Od7WUPH8zjC2vaj+G+hqlm55/9+L7FmGh8ju8/lr55grN&#10;IAal0t8C1qOxmgfmvxXXKJ31uxady3SSprg6liZpdh5jovd3Fvs7vBWAmgc2wMPihq+s795Wna6W&#10;JTT5xqJVL9B1FJXrCcg+b9UwQfNEDhsaPded7c9JateOXv0PAAD//wMAUEsDBBQABgAIAAAAIQC/&#10;/bIN3QAAAAkBAAAPAAAAZHJzL2Rvd25yZXYueG1sTI/BTsMwEETvSPyDtUjcqOMEVTSNUwESHAAJ&#10;Ebhwc+NtEmGvQ+y24e/ZnuA2qxnNvK02s3figFMcAmlQiwwEUhvsQJ2Gj/eHqxsQMRmyxgVCDT8Y&#10;YVOfn1WmtOFIb3hoUie4hGJpNPQpjaWUse3Rm7gIIxJ7uzB5k/icOmknc+Ry72SeZUvpzUC80JsR&#10;73tsv5q91/D65KO767+JPlcvzbMvikcG0vryYr5dg0g4p78wnPAZHWpm2oY92SichkIpTmq4znMQ&#10;Jz/LlyC2LNRKgawr+f+D+hcAAP//AwBQSwECLQAUAAYACAAAACEAtoM4kv4AAADhAQAAEwAAAAAA&#10;AAAAAAAAAAAAAAAAW0NvbnRlbnRfVHlwZXNdLnhtbFBLAQItABQABgAIAAAAIQA4/SH/1gAAAJQB&#10;AAALAAAAAAAAAAAAAAAAAC8BAABfcmVscy8ucmVsc1BLAQItABQABgAIAAAAIQAdnBY4mgMAANYK&#10;AAAOAAAAAAAAAAAAAAAAAC4CAABkcnMvZTJvRG9jLnhtbFBLAQItABQABgAIAAAAIQC//bIN3QAA&#10;AAkBAAAPAAAAAAAAAAAAAAAAAPQFAABkcnMvZG93bnJldi54bWxQSwUGAAAAAAQABADzAAAA/gYA&#10;AAAA&#10;" path="m43195,22054nfc42948,33803,33352,43199,21600,43200,9670,43200,,33529,,21600,,9670,9670,,21600,,33529,-1,43199,9670,43200,21599em43195,22054nsc42948,33803,33352,43199,21600,43200,9670,43200,,33529,,21600,,9670,9670,,21600,,33529,-1,43199,9670,43200,21599r-21600,1l43195,22054xe" fillcolor="yellow">
                      <v:fill opacity="5911f"/>
                      <v:path arrowok="t" o:extrusionok="f" o:connecttype="custom" o:connectlocs="453972,249289;454025,244158;227013,244158" o:connectangles="0,0,0"/>
                    </v:shape>
                  </w:pict>
                </mc:Fallback>
              </mc:AlternateContent>
            </w:r>
            <w:r w:rsidR="00A1505E" w:rsidRPr="00E97A7F">
              <w:rPr>
                <w:rFonts w:ascii="Calibri" w:eastAsia="Times New Roman" w:hAnsi="Calibri" w:cs="Times New Roman"/>
                <w:color w:val="000000"/>
              </w:rPr>
              <w:t>n° lab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05E" w:rsidRPr="00E97A7F" w:rsidRDefault="00A1505E" w:rsidP="000E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Costo tot</w:t>
            </w:r>
          </w:p>
        </w:tc>
      </w:tr>
      <w:tr w:rsidR="00A1505E" w:rsidRPr="00E97A7F" w:rsidTr="00A1505E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A7F">
              <w:rPr>
                <w:rFonts w:ascii="Calibri" w:eastAsia="Times New Roman" w:hAnsi="Calibri" w:cs="Times New Roman"/>
                <w:color w:val="000000"/>
              </w:rPr>
              <w:t>fuori orario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A7F">
              <w:rPr>
                <w:rFonts w:ascii="Calibri" w:eastAsia="Times New Roman" w:hAnsi="Calibri" w:cs="Times New Roman"/>
                <w:color w:val="000000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A7F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A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A7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05E" w:rsidRPr="00E97A7F" w:rsidRDefault="00A1505E" w:rsidP="000E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A7F">
              <w:rPr>
                <w:rFonts w:ascii="Calibri" w:eastAsia="Times New Roman" w:hAnsi="Calibri" w:cs="Times New Roman"/>
                <w:color w:val="000000"/>
              </w:rPr>
              <w:t>3612</w:t>
            </w:r>
          </w:p>
        </w:tc>
      </w:tr>
      <w:tr w:rsidR="00A1505E" w:rsidRPr="00E97A7F" w:rsidTr="00A1505E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 aggiornamento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A7F">
              <w:rPr>
                <w:rFonts w:ascii="Calibri" w:eastAsia="Times New Roman" w:hAnsi="Calibri" w:cs="Times New Roman"/>
                <w:color w:val="00000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A7F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A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A7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05E" w:rsidRPr="00E97A7F" w:rsidRDefault="00A1505E" w:rsidP="000E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A7F">
              <w:rPr>
                <w:rFonts w:ascii="Calibri" w:eastAsia="Times New Roman" w:hAnsi="Calibri" w:cs="Times New Roman"/>
                <w:color w:val="000000"/>
              </w:rPr>
              <w:t>1137</w:t>
            </w:r>
          </w:p>
        </w:tc>
      </w:tr>
      <w:tr w:rsidR="00A1505E" w:rsidRPr="00E97A7F" w:rsidTr="00A1505E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A7F">
              <w:rPr>
                <w:rFonts w:ascii="Calibri" w:eastAsia="Times New Roman" w:hAnsi="Calibri" w:cs="Times New Roman"/>
                <w:color w:val="000000"/>
              </w:rPr>
              <w:t>on 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A7F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05E" w:rsidRPr="00E97A7F" w:rsidRDefault="00A1505E" w:rsidP="000E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505E" w:rsidRPr="00E97A7F" w:rsidTr="00A1505E">
        <w:trPr>
          <w:trHeight w:val="9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A7F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5E" w:rsidRPr="00E97A7F" w:rsidRDefault="00A1505E" w:rsidP="00E97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05E" w:rsidRPr="00E97A7F" w:rsidRDefault="00A1505E" w:rsidP="000E41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A7F">
              <w:rPr>
                <w:rFonts w:ascii="Calibri" w:eastAsia="Times New Roman" w:hAnsi="Calibri" w:cs="Times New Roman"/>
                <w:color w:val="000000"/>
              </w:rPr>
              <w:t>4749</w:t>
            </w:r>
          </w:p>
        </w:tc>
      </w:tr>
    </w:tbl>
    <w:p w:rsidR="00933AB8" w:rsidRDefault="00933AB8">
      <w:pPr>
        <w:rPr>
          <w:u w:val="single"/>
        </w:rPr>
      </w:pPr>
    </w:p>
    <w:p w:rsidR="00A1505E" w:rsidRDefault="00A1505E" w:rsidP="00A1505E">
      <w:r w:rsidRPr="00FE5131">
        <w:rPr>
          <w:u w:val="single"/>
        </w:rPr>
        <w:t>ACCREDITAMENTO</w:t>
      </w:r>
      <w:r>
        <w:rPr>
          <w:u w:val="single"/>
        </w:rPr>
        <w:t xml:space="preserve"> E CERTIFICAZIONE</w:t>
      </w:r>
      <w:r>
        <w:t xml:space="preserve">. Il training è accreditato dalla Formazione dell’AUSL Bologna . I crediti formativi riconosciuti sono circa </w:t>
      </w:r>
      <w:r w:rsidRPr="00FF2E01">
        <w:rPr>
          <w:highlight w:val="yellow"/>
        </w:rPr>
        <w:t xml:space="preserve">30 per i discenti e </w:t>
      </w:r>
      <w:r>
        <w:rPr>
          <w:highlight w:val="yellow"/>
        </w:rPr>
        <w:t xml:space="preserve"> circa </w:t>
      </w:r>
      <w:r w:rsidRPr="00FF2E01">
        <w:rPr>
          <w:highlight w:val="yellow"/>
        </w:rPr>
        <w:t>30</w:t>
      </w:r>
      <w:r>
        <w:t xml:space="preserve"> per i docenti. Il completamento del training da parte del discente avviene con il superamento di un esame finale svolto dai membri della faculty.</w:t>
      </w:r>
    </w:p>
    <w:p w:rsidR="00A1505E" w:rsidRDefault="00A1505E">
      <w:pPr>
        <w:rPr>
          <w:u w:val="single"/>
        </w:rPr>
      </w:pPr>
    </w:p>
    <w:sectPr w:rsidR="00A1505E" w:rsidSect="000228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34_"/>
      </v:shape>
    </w:pict>
  </w:numPicBullet>
  <w:abstractNum w:abstractNumId="0">
    <w:nsid w:val="4D3E0EAB"/>
    <w:multiLevelType w:val="hybridMultilevel"/>
    <w:tmpl w:val="B5CA7D62"/>
    <w:lvl w:ilvl="0" w:tplc="B3F44C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45"/>
    <w:rsid w:val="000214FB"/>
    <w:rsid w:val="0002286E"/>
    <w:rsid w:val="000E0372"/>
    <w:rsid w:val="00271F45"/>
    <w:rsid w:val="00311856"/>
    <w:rsid w:val="003765A8"/>
    <w:rsid w:val="005A15B7"/>
    <w:rsid w:val="0079596B"/>
    <w:rsid w:val="00842F25"/>
    <w:rsid w:val="00850B80"/>
    <w:rsid w:val="008C5C82"/>
    <w:rsid w:val="009076D1"/>
    <w:rsid w:val="00933AB8"/>
    <w:rsid w:val="00992992"/>
    <w:rsid w:val="009B4985"/>
    <w:rsid w:val="00A1505E"/>
    <w:rsid w:val="00A953D2"/>
    <w:rsid w:val="00AF0944"/>
    <w:rsid w:val="00B335EF"/>
    <w:rsid w:val="00BB6B9E"/>
    <w:rsid w:val="00C92976"/>
    <w:rsid w:val="00D471F1"/>
    <w:rsid w:val="00DE37C5"/>
    <w:rsid w:val="00DF2DE9"/>
    <w:rsid w:val="00E4333E"/>
    <w:rsid w:val="00E97A7F"/>
    <w:rsid w:val="00FE5131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2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2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.allegri@ausl.b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.bonvicini@118e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cografiaurgenza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44CF1-5E64-41E6-9F07-1B985C5C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 Bologna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guardiola</dc:creator>
  <cp:lastModifiedBy>Fabbri Riccardo</cp:lastModifiedBy>
  <cp:revision>2</cp:revision>
  <dcterms:created xsi:type="dcterms:W3CDTF">2016-04-29T22:17:00Z</dcterms:created>
  <dcterms:modified xsi:type="dcterms:W3CDTF">2016-04-29T22:17:00Z</dcterms:modified>
</cp:coreProperties>
</file>